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1B35A5" w:rsidRPr="001B35A5">
        <w:rPr>
          <w:rFonts w:hint="eastAsia"/>
          <w:u w:val="single"/>
        </w:rPr>
        <w:t>智慧互動型眼鏡等設備乙批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10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1B35A5">
        <w:rPr>
          <w:rFonts w:hint="eastAsia"/>
          <w:u w:val="single"/>
        </w:rPr>
        <w:t>5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  <w:bookmarkStart w:id="0" w:name="_GoBack"/>
      <w:bookmarkEnd w:id="0"/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28A" w:rsidRDefault="0096228A">
      <w:r>
        <w:separator/>
      </w:r>
    </w:p>
  </w:endnote>
  <w:endnote w:type="continuationSeparator" w:id="0">
    <w:p w:rsidR="0096228A" w:rsidRDefault="0096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10</w:t>
    </w:r>
    <w:r w:rsidRPr="001939D3">
      <w:t>B0</w:t>
    </w:r>
    <w:r w:rsidR="00D7560A">
      <w:rPr>
        <w:rFonts w:hint="eastAsia"/>
      </w:rPr>
      <w:t>0</w:t>
    </w:r>
    <w:r w:rsidR="001B35A5">
      <w:rPr>
        <w:rFonts w:hint="eastAsia"/>
      </w:rPr>
      <w:t>5</w:t>
    </w:r>
    <w:r w:rsidR="00713A0F">
      <w:rPr>
        <w:rFonts w:hint="eastAsia"/>
      </w:rPr>
      <w:t xml:space="preserve"> </w:t>
    </w:r>
    <w:r w:rsidR="001B35A5" w:rsidRPr="001B35A5">
      <w:rPr>
        <w:rFonts w:ascii="標楷體" w:eastAsia="標楷體" w:hAnsi="標楷體" w:hint="eastAsia"/>
      </w:rPr>
      <w:t>智慧互動型眼鏡等設備乙批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28A" w:rsidRDefault="0096228A">
      <w:r>
        <w:separator/>
      </w:r>
    </w:p>
  </w:footnote>
  <w:footnote w:type="continuationSeparator" w:id="0">
    <w:p w:rsidR="0096228A" w:rsidRDefault="00962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2802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E7D9D"/>
    <w:rsid w:val="006F31B3"/>
    <w:rsid w:val="006F629A"/>
    <w:rsid w:val="006F7F31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617F0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122</cp:revision>
  <cp:lastPrinted>2015-07-09T15:04:00Z</cp:lastPrinted>
  <dcterms:created xsi:type="dcterms:W3CDTF">2014-05-08T03:20:00Z</dcterms:created>
  <dcterms:modified xsi:type="dcterms:W3CDTF">2021-10-29T07:36:00Z</dcterms:modified>
</cp:coreProperties>
</file>