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</w:t>
            </w:r>
            <w:proofErr w:type="gramEnd"/>
            <w:r w:rsidR="00A21B02" w:rsidRPr="009A05C1">
              <w:rPr>
                <w:rFonts w:eastAsia="標楷體"/>
                <w:sz w:val="26"/>
                <w:szCs w:val="26"/>
              </w:rPr>
              <w:t>）</w:t>
            </w:r>
          </w:p>
          <w:p w:rsidR="00A21B02" w:rsidRPr="00391C1A" w:rsidRDefault="00A21B02" w:rsidP="00391C1A">
            <w:pPr>
              <w:jc w:val="right"/>
              <w:rPr>
                <w:rFonts w:eastAsia="標楷體"/>
                <w:sz w:val="26"/>
                <w:szCs w:val="26"/>
              </w:rPr>
            </w:pP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未簽章。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6163F7" w:rsidRPr="006163F7">
              <w:rPr>
                <w:rFonts w:eastAsia="標楷體" w:hint="eastAsia"/>
                <w:sz w:val="26"/>
                <w:szCs w:val="26"/>
                <w:u w:val="single"/>
              </w:rPr>
              <w:t>7</w:t>
            </w:r>
            <w:r w:rsidR="00D51A21">
              <w:rPr>
                <w:rFonts w:eastAsia="標楷體" w:hint="eastAsia"/>
                <w:sz w:val="26"/>
                <w:szCs w:val="26"/>
                <w:u w:val="single"/>
              </w:rPr>
              <w:t>12</w:t>
            </w:r>
            <w:r w:rsidRPr="006163F7">
              <w:rPr>
                <w:rFonts w:eastAsia="標楷體" w:hint="eastAsia"/>
                <w:sz w:val="26"/>
                <w:szCs w:val="26"/>
                <w:u w:val="single"/>
              </w:rPr>
              <w:t>,</w:t>
            </w:r>
            <w:r w:rsidR="00D51A21">
              <w:rPr>
                <w:rFonts w:eastAsia="標楷體" w:hint="eastAsia"/>
                <w:sz w:val="26"/>
                <w:szCs w:val="26"/>
                <w:u w:val="single"/>
              </w:rPr>
              <w:t>1</w:t>
            </w:r>
            <w:bookmarkStart w:id="0" w:name="_GoBack"/>
            <w:bookmarkEnd w:id="0"/>
            <w:r w:rsidR="004A497A" w:rsidRPr="00622D34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350863" w:rsidRPr="00622D34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商澄清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品時請提供未訂製部份之相關資料。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EA5" w:rsidRDefault="00B52EA5">
      <w:r>
        <w:separator/>
      </w:r>
    </w:p>
  </w:endnote>
  <w:endnote w:type="continuationSeparator" w:id="0">
    <w:p w:rsidR="00B52EA5" w:rsidRDefault="00B52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EA5" w:rsidRDefault="00B52EA5">
      <w:r>
        <w:separator/>
      </w:r>
    </w:p>
  </w:footnote>
  <w:footnote w:type="continuationSeparator" w:id="0">
    <w:p w:rsidR="00B52EA5" w:rsidRDefault="00B52E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10</w:t>
          </w:r>
          <w:r w:rsidR="00587DA8" w:rsidRPr="009A05C1">
            <w:rPr>
              <w:rFonts w:eastAsia="標楷體"/>
            </w:rPr>
            <w:t>B0</w:t>
          </w:r>
          <w:r w:rsidR="004A497A">
            <w:rPr>
              <w:rFonts w:eastAsia="標楷體" w:hint="eastAsia"/>
            </w:rPr>
            <w:t>0</w:t>
          </w:r>
          <w:r w:rsidR="00D51A21">
            <w:rPr>
              <w:rFonts w:eastAsia="標楷體" w:hint="eastAsia"/>
            </w:rPr>
            <w:t>4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D51A21" w:rsidRPr="00D51A21">
            <w:rPr>
              <w:rFonts w:eastAsia="標楷體" w:hint="eastAsia"/>
            </w:rPr>
            <w:t>相機及廣播教學設備乙批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0DB4"/>
    <w:rsid w:val="00713A1B"/>
    <w:rsid w:val="00715EFD"/>
    <w:rsid w:val="00717292"/>
    <w:rsid w:val="00722830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E5F"/>
    <w:rsid w:val="008C68C2"/>
    <w:rsid w:val="008C6AA3"/>
    <w:rsid w:val="008D1DA4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6F78"/>
    <w:rsid w:val="00A1715F"/>
    <w:rsid w:val="00A21B02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87B44A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180DC-58B4-49C6-93FE-CC26283F4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78</cp:revision>
  <cp:lastPrinted>2019-07-19T07:49:00Z</cp:lastPrinted>
  <dcterms:created xsi:type="dcterms:W3CDTF">2014-05-08T03:17:00Z</dcterms:created>
  <dcterms:modified xsi:type="dcterms:W3CDTF">2021-09-08T05:29:00Z</dcterms:modified>
</cp:coreProperties>
</file>